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sz w:val="32"/>
          <w:szCs w:val="32"/>
        </w:rPr>
      </w:pPr>
    </w:p>
    <w:p>
      <w:pPr>
        <w:spacing w:line="620" w:lineRule="exact"/>
        <w:jc w:val="left"/>
        <w:rPr>
          <w:sz w:val="32"/>
          <w:szCs w:val="32"/>
        </w:rPr>
      </w:pPr>
    </w:p>
    <w:p>
      <w:pPr>
        <w:spacing w:line="620" w:lineRule="exact"/>
        <w:jc w:val="left"/>
        <w:rPr>
          <w:sz w:val="32"/>
          <w:szCs w:val="32"/>
        </w:rPr>
      </w:pPr>
    </w:p>
    <w:p>
      <w:pPr>
        <w:spacing w:line="620" w:lineRule="exact"/>
        <w:jc w:val="left"/>
        <w:rPr>
          <w:sz w:val="32"/>
          <w:szCs w:val="32"/>
        </w:rPr>
      </w:pPr>
    </w:p>
    <w:p>
      <w:pPr>
        <w:spacing w:line="620" w:lineRule="exact"/>
        <w:jc w:val="left"/>
        <w:rPr>
          <w:sz w:val="32"/>
          <w:szCs w:val="32"/>
        </w:rPr>
      </w:pPr>
    </w:p>
    <w:p>
      <w:pPr>
        <w:spacing w:line="620" w:lineRule="exact"/>
        <w:jc w:val="left"/>
        <w:rPr>
          <w:sz w:val="32"/>
          <w:szCs w:val="32"/>
        </w:rPr>
      </w:pPr>
    </w:p>
    <w:p>
      <w:pPr>
        <w:spacing w:line="640" w:lineRule="exact"/>
        <w:jc w:val="center"/>
        <w:rPr>
          <w:rFonts w:ascii="仿宋_GB2312" w:hAnsi="华文中宋" w:eastAsia="仿宋_GB2312"/>
          <w:sz w:val="32"/>
        </w:rPr>
      </w:pPr>
      <w:r>
        <w:rPr>
          <w:rFonts w:hint="eastAsia" w:ascii="仿宋_GB2312" w:hAnsi="华文中宋" w:eastAsia="仿宋_GB2312"/>
          <w:sz w:val="32"/>
        </w:rPr>
        <w:t>校政文〔</w:t>
      </w:r>
      <w:r>
        <w:rPr>
          <w:rFonts w:ascii="仿宋_GB2312" w:hAnsi="华文中宋" w:eastAsia="仿宋_GB2312"/>
          <w:sz w:val="32"/>
        </w:rPr>
        <w:t>2018</w:t>
      </w:r>
      <w:r>
        <w:rPr>
          <w:rFonts w:hint="eastAsia" w:ascii="仿宋_GB2312" w:hAnsi="华文中宋" w:eastAsia="仿宋_GB2312"/>
          <w:sz w:val="32"/>
        </w:rPr>
        <w:t>〕</w:t>
      </w:r>
      <w:r>
        <w:rPr>
          <w:rFonts w:ascii="仿宋_GB2312" w:hAnsi="华文中宋" w:eastAsia="仿宋_GB2312"/>
          <w:sz w:val="32"/>
        </w:rPr>
        <w:t>83</w:t>
      </w:r>
      <w:r>
        <w:rPr>
          <w:rFonts w:hint="eastAsia" w:ascii="仿宋_GB2312" w:hAnsi="华文中宋" w:eastAsia="仿宋_GB2312"/>
          <w:sz w:val="32"/>
        </w:rPr>
        <w:t>号</w:t>
      </w:r>
    </w:p>
    <w:p>
      <w:pPr>
        <w:spacing w:line="500" w:lineRule="exact"/>
        <w:jc w:val="left"/>
        <w:rPr>
          <w:sz w:val="32"/>
          <w:szCs w:val="32"/>
        </w:rPr>
      </w:pPr>
    </w:p>
    <w:p>
      <w:pPr>
        <w:spacing w:line="7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焦作师范高等专科学校</w:t>
      </w:r>
    </w:p>
    <w:p>
      <w:pPr>
        <w:spacing w:line="7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“国培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计划”和“省培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计划”培训经费使用管理办法</w:t>
      </w:r>
    </w:p>
    <w:p>
      <w:pPr>
        <w:spacing w:line="600" w:lineRule="exact"/>
        <w:ind w:firstLine="720" w:firstLineChars="225"/>
        <w:rPr>
          <w:rFonts w:ascii="宋体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outlineLvl w:val="8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为加强培训经费管理，提高资金使用效益，确保“国培计划”和“省培计划”经费专款专用，根据财政部、教育部《关于印发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&lt;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中小学幼儿园教师国家级培训计划专项资金管理办法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&gt;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的通知》（财科教</w:t>
      </w:r>
      <w:r>
        <w:rPr>
          <w:rFonts w:hint="eastAsia" w:ascii="仿宋_GB2312" w:hAnsi="华文中宋" w:eastAsia="仿宋_GB2312"/>
          <w:color w:val="auto"/>
          <w:sz w:val="32"/>
        </w:rPr>
        <w:t>〔</w:t>
      </w:r>
      <w:r>
        <w:rPr>
          <w:rFonts w:ascii="仿宋_GB2312" w:hAnsi="华文中宋" w:eastAsia="仿宋_GB2312"/>
          <w:color w:val="auto"/>
          <w:sz w:val="32"/>
        </w:rPr>
        <w:t>2016</w:t>
      </w:r>
      <w:r>
        <w:rPr>
          <w:rFonts w:hint="eastAsia" w:ascii="仿宋_GB2312" w:hAnsi="华文中宋" w:eastAsia="仿宋_GB2312"/>
          <w:color w:val="auto"/>
          <w:sz w:val="32"/>
        </w:rPr>
        <w:t>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号）、《河南省财政厅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河南省教育厅关于印发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&lt;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河南省省级教师队伍建设专项资金管理办法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&gt;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的通知》（豫财教</w:t>
      </w:r>
      <w:r>
        <w:rPr>
          <w:rFonts w:hint="eastAsia" w:ascii="仿宋_GB2312" w:hAnsi="华文中宋" w:eastAsia="仿宋_GB2312"/>
          <w:color w:val="auto"/>
          <w:sz w:val="32"/>
        </w:rPr>
        <w:t>〔</w:t>
      </w:r>
      <w:r>
        <w:rPr>
          <w:rFonts w:ascii="仿宋_GB2312" w:hAnsi="华文中宋" w:eastAsia="仿宋_GB2312"/>
          <w:color w:val="auto"/>
          <w:sz w:val="32"/>
        </w:rPr>
        <w:t>2017</w:t>
      </w:r>
      <w:r>
        <w:rPr>
          <w:rFonts w:hint="eastAsia" w:ascii="仿宋_GB2312" w:hAnsi="华文中宋" w:eastAsia="仿宋_GB2312"/>
          <w:color w:val="auto"/>
          <w:sz w:val="32"/>
        </w:rPr>
        <w:t>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以及河南省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项目办公室召开的项目实施会议精神，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结合我校实际，特制定本方法。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一、管理原则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“国培计划”和“省培计划”专项经</w:t>
      </w:r>
      <w:r>
        <w:rPr>
          <w:rFonts w:hint="eastAsia" w:ascii="仿宋_GB2312" w:hAnsi="仿宋_GB2312" w:eastAsia="仿宋_GB2312" w:cs="仿宋_GB2312"/>
          <w:sz w:val="32"/>
          <w:szCs w:val="32"/>
        </w:rPr>
        <w:t>费管理必须坚持以下原则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科学规划、合理配置；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单独核算、专款专用；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项目管理、绩效考评。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二、支出项目、范围和标准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“国培计划”和“省培计划”项目资金主要用于培训期间直接发生的各项费用支出。具体包括：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住宿费，是指参训人员培训期间发生的租住房间的费用；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伙食费，是指参训人员培训期间发生的用餐费用；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培训场地及设备费，是指用于培训的会议室、教室或实验室租金、网络研修平台和相关设备租金；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讲课费，是指聘请教师授课所支付的必要报酬；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培训资料费，是指培训期间必要的学习资料费、网络课程资源费及办公用品费；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交通费，是指用于接送以及统一组织的与培训有关的考察、调研等发生的交通支出；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其他费用，是指现场教学费、文体活动费、医药费、班主任费、授课教师的交通和食宿支出，以及与培训有关的其他支出。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培训食宿安排应当符合培训费使用管理相关政策要求，严禁使用培训经费安排与培训无关的参观考察活动。参训人员外出培训发生的交通费，按照相关规定回所在单位报销。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项目实施过程中，根据培训方案要求，优先通过政府购买服务方式开展教师培训及其他公共服务。培训服务提供商应是上级教育行政部门提供的优质培训提供者，培训经费的支付严格按照培训服务协议执行。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三、计划与管理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（一）“国培计划”和“省培计划”专项经费由学校财务处统一管理与监督，并原则上按下列分配比例控制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专项经费的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％作为各承担项目学院的培训经费，用于项目实施过程中的教学费用、专家住宿费、学习资料费、培训学员及顶岗实习学生住宿、交通、实践教学、网络平台研修等各项费用支出。各学院协调并做好服务于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的工作人员劳务费核算，并做出合理化分配。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专项经费的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10%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作为继续教育学院项目经费，用于项目前期调研、方案研制、项目申报、宣传报道、教学过程质量监督、项目评估和其它不可预计方面的支出。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专项经费的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25%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作为学校统筹，用于项目实施过程中所发生的交通费、水电费、教学所需的教学设施设备的维修、维护和场地租赁等项目支出。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（二）严格执行学校预算和报备制度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“国培计划”和“省培计划”实施学院应根据经费分配数额和教学实际需要做好项目预算，经财务处审核后方可使用，并提前向学校报备，确保培训正常进行。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（三）“国培计划”和“省培计划”专项经费，按培训项目单独预算、独立结算，“一事一议”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不同的国培项目之间经费需要调配使用时，承担项目的学院应事先提出申请，征得学校财务处的同意方可调配。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（四）严格按照国家财经纪律，自觉接受财政、教育、审计、监察等部门的监督和检查，发现问题，及时纠正。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四、报销与结算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项目经费要严格按照学校财务规定和程序进行报销。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项目完成后，相关学院协同财务处及时编报经费决算表，做到收支数额准确、内容完整。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黑体" w:hAnsi="仿宋_GB2312" w:eastAsia="黑体" w:cs="仿宋_GB2312"/>
          <w:b/>
          <w:color w:val="auto"/>
          <w:sz w:val="32"/>
          <w:szCs w:val="32"/>
        </w:rPr>
      </w:pPr>
      <w:r>
        <w:rPr>
          <w:rFonts w:hint="eastAsia" w:ascii="黑体" w:hAnsi="仿宋_GB2312" w:eastAsia="黑体" w:cs="仿宋_GB2312"/>
          <w:b/>
          <w:color w:val="auto"/>
          <w:sz w:val="32"/>
          <w:szCs w:val="32"/>
        </w:rPr>
        <w:t>五、其它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“国培计划”和“省培计划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项目的学院要根据本办法，建立规范的培训经费管理制度，做好项目经费使用管理工作。培训项目实施学院院长对经费使用的合法性、合理性和有效性负责。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（二）本办法从下发之日起开始执行。本办法解释权归财务处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和继续教育学院。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本文件下发之日起，焦作师范高等专科学校关于转发《财政部 教育部关于印发&lt;中小学幼儿园教师国家级培训计划专项资金管理办法&gt;的通知》的通知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校政文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</w:rPr>
        <w:t>〔</w:t>
      </w:r>
      <w:r>
        <w:rPr>
          <w:rFonts w:ascii="仿宋_GB2312" w:hAnsi="华文中宋" w:eastAsia="仿宋_GB2312"/>
          <w:b w:val="0"/>
          <w:bCs w:val="0"/>
          <w:color w:val="auto"/>
          <w:sz w:val="32"/>
        </w:rPr>
        <w:t>2017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</w:rPr>
        <w:t>〕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焦作师范高等专科学校“国培计划”经费支出项目、范围及标准补充规定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校政文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</w:rPr>
        <w:t>〔</w:t>
      </w:r>
      <w:r>
        <w:rPr>
          <w:rFonts w:ascii="仿宋_GB2312" w:hAnsi="华文中宋" w:eastAsia="仿宋_GB2312"/>
          <w:b w:val="0"/>
          <w:bCs w:val="0"/>
          <w:color w:val="auto"/>
          <w:sz w:val="32"/>
        </w:rPr>
        <w:t>2017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</w:rPr>
        <w:t>〕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文件同时废止。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Arial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附件：“国培计划”和“省培计划”经费支出项目、支出范围和支出标准</w:t>
      </w: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z w:val="32"/>
          <w:szCs w:val="32"/>
        </w:rPr>
        <w:t>二○一八年十月十</w:t>
      </w:r>
      <w:r>
        <w:rPr>
          <w:rFonts w:hint="eastAsia" w:ascii="仿宋_GB2312" w:hAnsi="宋体" w:eastAsia="仿宋_GB2312"/>
          <w:snapToGrid w:val="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snapToGrid w:val="0"/>
          <w:sz w:val="32"/>
          <w:szCs w:val="32"/>
        </w:rPr>
        <w:t>日</w:t>
      </w:r>
      <w:r>
        <w:rPr>
          <w:rFonts w:ascii="仿宋_GB2312" w:hAnsi="宋体" w:eastAsia="仿宋_GB2312"/>
          <w:snapToGrid w:val="0"/>
          <w:sz w:val="32"/>
          <w:szCs w:val="32"/>
        </w:rPr>
        <w:t xml:space="preserve"> </w:t>
      </w: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ind w:firstLine="5760" w:firstLineChars="1800"/>
        <w:rPr>
          <w:rFonts w:ascii="仿宋_GB2312" w:hAnsi="宋体" w:eastAsia="仿宋_GB2312"/>
          <w:snapToGrid w:val="0"/>
          <w:sz w:val="32"/>
          <w:szCs w:val="32"/>
        </w:rPr>
      </w:pPr>
    </w:p>
    <w:p>
      <w:pPr>
        <w:autoSpaceDN w:val="0"/>
        <w:spacing w:line="580" w:lineRule="exact"/>
        <w:rPr>
          <w:rFonts w:ascii="仿宋_GB2312" w:hAnsi="宋体" w:eastAsia="仿宋_GB2312"/>
          <w:snapToGrid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210" w:firstLineChars="100"/>
        <w:rPr>
          <w:rFonts w:ascii="仿宋_GB2312" w:eastAsia="仿宋_GB2312"/>
          <w:color w:val="000000"/>
          <w:sz w:val="32"/>
          <w:szCs w:val="32"/>
        </w:rPr>
      </w:pPr>
      <w:r>
        <w:pict>
          <v:line id="_x0000_s1026" o:spid="_x0000_s1026" o:spt="20" style="position:absolute;left:0pt;margin-left:7.8pt;margin-top:37pt;height:0pt;width:442.2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7.8pt;margin-top:5.8pt;height:0pt;width:442.2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pacing w:val="-24"/>
          <w:sz w:val="32"/>
          <w:szCs w:val="32"/>
        </w:rPr>
        <w:t>焦作师范高等专科学校办公室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2018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日印发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</w:p>
    <w:p>
      <w:pPr>
        <w:adjustRightInd w:val="0"/>
        <w:snapToGrid w:val="0"/>
        <w:spacing w:line="600" w:lineRule="exact"/>
        <w:rPr>
          <w:rFonts w:ascii="仿宋" w:hAnsi="仿宋" w:eastAsia="黑体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“国培计划”和“省培计划”经费支出项目、支出范围和支出标准</w:t>
      </w:r>
    </w:p>
    <w:tbl>
      <w:tblPr>
        <w:tblStyle w:val="1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92"/>
        <w:gridCol w:w="5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61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支出项目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支出范围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支出标准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039" w:type="dxa"/>
            <w:gridSpan w:val="3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一、承办项目学院经费（占专项经费的</w:t>
            </w:r>
            <w:r>
              <w:rPr>
                <w:rFonts w:ascii="宋体" w:hAnsi="宋体" w:cs="宋体"/>
                <w:kern w:val="0"/>
                <w:szCs w:val="21"/>
              </w:rPr>
              <w:t>65%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61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（一）住宿费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学员住宿费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学员住宿费：培训结束时按实际价格实报实销，原则上不超过</w:t>
            </w:r>
            <w:r>
              <w:rPr>
                <w:rFonts w:ascii="宋体" w:hAnsi="宋体" w:cs="宋体"/>
                <w:kern w:val="0"/>
                <w:szCs w:val="21"/>
              </w:rPr>
              <w:t>70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天·人。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61" w:type="dxa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（二）伙食费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学员生活费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培训学员生活补助费按</w:t>
            </w: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天·人，按实际天数计算。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顶岗实习生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顶岗实习生生活补助标准按</w:t>
            </w: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天·生，按实际天数计算。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261" w:type="dxa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（三）交通费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教学考察费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观摩教学等交通费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培训期间安排的教学考察、教学观摩等产生的交通费用，按实际发生费用报销，但人均不得超过学校至考察地的长途车（市内公交）费用。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跟岗实践交通费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学员往返基地学校交通费按实际天数计算，标准为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天·人。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</w:rPr>
              <w:t>顶岗生交通费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送学生上岗按实际发生交通费报销；实习结束，学校不再统一接实习生返校，实习生返程交通费按</w:t>
            </w:r>
            <w:r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人生发放至学生本人；如果实习学校地处偏远（交通费超过</w:t>
            </w:r>
            <w:r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人），返程交通费按实际发生额发放给学生本人。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261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420" w:hanging="420" w:hanging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（四）管理费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10" w:firstLineChars="100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班主任费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“国培计划”和“省培计划”每班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名学员，配备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名教学班主任、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名生活班主任，班主任费为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天·人，根据工作需要，班主任费在学员实际学习时间上可适当增加天数。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261" w:type="dxa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（五）讲课费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专家授课费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①专家的授课费按专题计，省域外专家授课费标准参照《焦作市市直机关培训费管理办法》（焦财行〔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2017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号）执行；校内教师每专题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8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半天计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；校内教师作为送培下县专家每专题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1000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半天计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，另按出差相关规定报销交通费、住宿费。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②现场教学教师团队授课费：培训学员到中小学幼儿园观摩教学（或中小学幼儿园教师到我校现场观摩教学），教学团队授课费最高级别专家和其它专家分别按《焦作市市直机关培训费管理办法》（焦财行〔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2017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号）规定标准的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80%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30%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首席专家</w:t>
            </w:r>
          </w:p>
          <w:p>
            <w:pPr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首席专家指导费按</w:t>
            </w:r>
            <w:r>
              <w:rPr>
                <w:rFonts w:ascii="宋体" w:hAnsi="宋体" w:cs="宋体"/>
                <w:kern w:val="0"/>
                <w:szCs w:val="21"/>
              </w:rPr>
              <w:t>2000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项目，用于专家咨询、项目解读、项目申报指导等。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</w:rPr>
              <w:t>现场教学费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①团队脱产培训：基地学校教师指导费</w:t>
            </w:r>
            <w:r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周·学员，发至基地学校指导教师。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②短期集中培训：基地学校教师指导费</w:t>
            </w:r>
            <w:r>
              <w:rPr>
                <w:rFonts w:ascii="宋体" w:hAnsi="宋体" w:cs="宋体"/>
                <w:kern w:val="0"/>
                <w:szCs w:val="21"/>
              </w:rPr>
              <w:t>25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天·学员，发至基地学校指导教师。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③我校派到基地的指导教师每班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人，指导费按</w:t>
            </w:r>
            <w:r>
              <w:rPr>
                <w:rFonts w:ascii="宋体" w:hAnsi="宋体" w:cs="宋体"/>
                <w:kern w:val="0"/>
                <w:szCs w:val="21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天计算。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④赴实习基地的顶岗实习生指导教师：每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</w:rPr>
              <w:t>名学生配备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名，指导费按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天计算。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⑤送教下乡项目工作人员（含送培所在地工作人员，不超过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人）现场指导费</w:t>
            </w:r>
            <w:r>
              <w:rPr>
                <w:rFonts w:ascii="宋体" w:hAnsi="宋体" w:cs="宋体"/>
                <w:kern w:val="0"/>
                <w:szCs w:val="21"/>
              </w:rPr>
              <w:t>300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天·人，另按出差相关规定报销交通费、住宿费。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⑥送教下乡教师和工作人员，当天没有取得授课费、现场教学费的教师，按出差规定报销差旅费。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⑦送培到县项目委托当地教育机构培训，培训费按双方签订协议执行。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⑧在焦作本地中小学举行的教学观摩等教学活动，工作人员（不超过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人）现场指导费</w:t>
            </w:r>
            <w:r>
              <w:rPr>
                <w:rFonts w:ascii="宋体" w:hAnsi="宋体" w:cs="宋体"/>
                <w:kern w:val="0"/>
                <w:szCs w:val="21"/>
              </w:rPr>
              <w:t>200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天·人。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⑨国培计划顶岗实习生岗前培训每班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</w:rPr>
              <w:t>名学生，培训时原则上不超过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周时间，授课教师费为</w:t>
            </w:r>
            <w:r>
              <w:rPr>
                <w:rFonts w:ascii="宋体" w:hAnsi="宋体" w:cs="宋体"/>
                <w:kern w:val="0"/>
                <w:szCs w:val="21"/>
              </w:rPr>
              <w:t>500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．网络研修平台与课程资源费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网络研修平台与课程资源费，按合同协议支付费用。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261" w:type="dxa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（六）培训</w:t>
            </w:r>
          </w:p>
          <w:p>
            <w:pPr>
              <w:adjustRightInd w:val="0"/>
              <w:snapToGrid w:val="0"/>
              <w:spacing w:line="300" w:lineRule="exac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资料费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学员学习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36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资料费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培训学员教学参考资料、学习用品、光盘等费用，每生不得超过</w:t>
            </w:r>
            <w:r>
              <w:rPr>
                <w:rFonts w:ascii="宋体" w:hAnsi="宋体" w:cs="宋体"/>
                <w:kern w:val="0"/>
                <w:szCs w:val="21"/>
              </w:rPr>
              <w:t>150</w:t>
            </w:r>
            <w:r>
              <w:rPr>
                <w:rFonts w:hint="eastAsia" w:ascii="宋体" w:hAnsi="宋体" w:cs="宋体"/>
                <w:kern w:val="0"/>
                <w:szCs w:val="21"/>
              </w:rPr>
              <w:t>元标准，依据符合财务规定的票据到财务处报销。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办公用品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宣传用品、公杂费等，按实际发生费用报销。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1" w:type="dxa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（七）其它费用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文体活动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国培学员组织参与文体活动购置的体育器材，按实际发生费用报销。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left="210" w:hanging="210" w:hanging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授课教师交通、食宿费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教师交通、食宿费标准参照《焦作市市直机关培训费管理办法》（焦财行〔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2017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号）执行。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</w:rPr>
              <w:t>不可预计支出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国培计划执行过程中，以上各项内容未涉及到但工作又必须发生的费用，按财务相关规定报销。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039" w:type="dxa"/>
            <w:gridSpan w:val="3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二、继续教育学院经费（占专项经费</w:t>
            </w:r>
            <w:r>
              <w:rPr>
                <w:rFonts w:ascii="宋体" w:hAnsi="宋体" w:cs="宋体"/>
                <w:kern w:val="0"/>
                <w:szCs w:val="21"/>
              </w:rPr>
              <w:t>10%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1" w:type="dxa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（一）培训资料费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网络课程资源购置、文本课程资源开发费用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①课程资源开发费用，每专题</w:t>
            </w:r>
            <w:r>
              <w:rPr>
                <w:rFonts w:ascii="宋体" w:hAnsi="宋体" w:cs="宋体"/>
                <w:kern w:val="0"/>
                <w:szCs w:val="21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元。网络资源购置、课程资源开发所需的光盘购置、光盘刻录制作等其它费用，按实际发生报销。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②实施方案、国培简报、自评报告、培训成果、调研评议、培训光盘等文本资料的制作，由学校统一印制，按实际发生费用报销。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办公用品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宣传用品、公杂费等，按实际发生费用报销。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1" w:type="dxa"/>
            <w:vMerge w:val="restart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（二）其它费用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前期调研、项目论证与方案研制费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①组织调研活动、参加会议等，按学校出差补助标准并以实际发生费用报销。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②问卷设计与分析专家咨询费、评审费等，校外专家参照《焦作市市直机关培训费管理办法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》（焦财行〔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2017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号）</w:t>
            </w:r>
            <w:r>
              <w:rPr>
                <w:rFonts w:hint="eastAsia" w:ascii="宋体" w:hAnsi="宋体" w:cs="宋体"/>
                <w:kern w:val="0"/>
                <w:szCs w:val="21"/>
              </w:rPr>
              <w:t>规定支付其授课费，校内按</w:t>
            </w:r>
            <w:r>
              <w:rPr>
                <w:rFonts w:ascii="宋体" w:hAnsi="宋体" w:cs="宋体"/>
                <w:kern w:val="0"/>
                <w:szCs w:val="21"/>
              </w:rPr>
              <w:t>2500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项目支付学院工作人员。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项目评估、总结费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①培训评估费用，校外专家按焦财行</w:t>
            </w:r>
            <w:r>
              <w:rPr>
                <w:rFonts w:ascii="宋体" w:hAnsi="宋体" w:cs="宋体"/>
                <w:kern w:val="0"/>
                <w:szCs w:val="21"/>
              </w:rPr>
              <w:t>[2017]17</w:t>
            </w:r>
            <w:r>
              <w:rPr>
                <w:rFonts w:hint="eastAsia" w:ascii="宋体" w:hAnsi="宋体" w:cs="宋体"/>
                <w:kern w:val="0"/>
                <w:szCs w:val="21"/>
              </w:rPr>
              <w:t>号文件规定支付授课费；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②校内按实际工作情况，以研制方案的标准</w:t>
            </w:r>
            <w:r>
              <w:rPr>
                <w:rFonts w:ascii="宋体" w:hAnsi="宋体" w:cs="宋体"/>
                <w:kern w:val="0"/>
                <w:szCs w:val="21"/>
              </w:rPr>
              <w:t>2500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项目支付学院工作人员。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③项目评估和总结的其它费用（印制材料、购置耗材等），按实际发生费用报销。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专项课题结项费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置换学员国培专项课题，指导教师以立项、结项各</w:t>
            </w:r>
            <w:r>
              <w:rPr>
                <w:rFonts w:ascii="宋体" w:hAnsi="宋体" w:cs="宋体"/>
                <w:kern w:val="0"/>
                <w:szCs w:val="21"/>
              </w:rPr>
              <w:t>200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项目计发补助。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考察、培训、调研或实践指导费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学校、学院领导和其他工作人员，因国培工作外出考察、培训、调研或教学实践指导，按旅差费规定标准报销。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61" w:type="dxa"/>
            <w:vMerge w:val="continue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不可预计支出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国培计划执行过程中，以上各项内容未涉及到但工作又必须发生的费用，按财务相关规定报销。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039" w:type="dxa"/>
            <w:gridSpan w:val="3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三、学校统筹经费（占专项经费</w:t>
            </w:r>
            <w:r>
              <w:rPr>
                <w:rFonts w:ascii="宋体" w:cs="宋体"/>
                <w:kern w:val="0"/>
                <w:szCs w:val="21"/>
              </w:rPr>
              <w:t>25%</w:t>
            </w:r>
            <w:r>
              <w:rPr>
                <w:rFonts w:hint="eastAsia" w:asci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261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（一）场地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设备费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场地、设备租用费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主要用于培训的会议室、多媒体教室、普通教室、计算机房、实验室、舞蹈室、多功能演播厅、学术报告厅、电子商务厅、心理咨询室、动植物标本室、图书阅览室、健身房等相关设备的租金。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61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（二）其它费用</w:t>
            </w:r>
          </w:p>
        </w:tc>
        <w:tc>
          <w:tcPr>
            <w:tcW w:w="1892" w:type="dxa"/>
            <w:tcMar>
              <w:top w:w="85" w:type="dxa"/>
              <w:bottom w:w="8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不可预计支出</w:t>
            </w:r>
          </w:p>
        </w:tc>
        <w:tc>
          <w:tcPr>
            <w:tcW w:w="5886" w:type="dxa"/>
            <w:tcMar>
              <w:top w:w="85" w:type="dxa"/>
              <w:bottom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国培计划执行过程中，以上各项内容未涉及到但工作又必须发生的费用，按财务相关规定报销。</w:t>
            </w:r>
          </w:p>
        </w:tc>
      </w:tr>
    </w:tbl>
    <w:p>
      <w:pPr>
        <w:adjustRightInd w:val="0"/>
        <w:snapToGrid w:val="0"/>
        <w:spacing w:line="36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备注：</w:t>
      </w:r>
      <w:r>
        <w:rPr>
          <w:rFonts w:ascii="仿宋" w:hAnsi="仿宋" w:eastAsia="仿宋" w:cs="仿宋"/>
          <w:bCs/>
          <w:sz w:val="24"/>
        </w:rPr>
        <w:t>1.</w:t>
      </w:r>
      <w:r>
        <w:rPr>
          <w:rFonts w:hint="eastAsia" w:ascii="仿宋" w:hAnsi="仿宋" w:eastAsia="仿宋" w:cs="仿宋"/>
          <w:bCs/>
          <w:sz w:val="24"/>
        </w:rPr>
        <w:t>以上支出比例仅限“国培计划”和“省培计划”的校内相关培训项目，不包括送教下乡等校外培训项目。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cs="黑体"/>
          <w:sz w:val="28"/>
          <w:szCs w:val="28"/>
        </w:rPr>
      </w:pPr>
      <w:r>
        <w:rPr>
          <w:rFonts w:ascii="仿宋" w:hAnsi="仿宋" w:eastAsia="仿宋" w:cs="仿宋"/>
          <w:bCs/>
          <w:sz w:val="24"/>
        </w:rPr>
        <w:t>2.</w:t>
      </w:r>
      <w:r>
        <w:rPr>
          <w:rFonts w:hint="eastAsia" w:ascii="仿宋" w:hAnsi="仿宋" w:eastAsia="仿宋" w:cs="仿宋"/>
          <w:bCs/>
          <w:sz w:val="24"/>
        </w:rPr>
        <w:t>校内其它短期培训经费支出，参照本文件执行。</w:t>
      </w:r>
    </w:p>
    <w:sectPr>
      <w:footerReference r:id="rId3" w:type="default"/>
      <w:footerReference r:id="rId4" w:type="even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210" w:rightChars="10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8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255B"/>
    <w:multiLevelType w:val="singleLevel"/>
    <w:tmpl w:val="5419255B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332"/>
    <w:rsid w:val="00002432"/>
    <w:rsid w:val="0000418B"/>
    <w:rsid w:val="000049AE"/>
    <w:rsid w:val="00007A9D"/>
    <w:rsid w:val="00015824"/>
    <w:rsid w:val="00030A98"/>
    <w:rsid w:val="000313CA"/>
    <w:rsid w:val="0003644A"/>
    <w:rsid w:val="000514FB"/>
    <w:rsid w:val="00073F18"/>
    <w:rsid w:val="000746D5"/>
    <w:rsid w:val="00075C84"/>
    <w:rsid w:val="00076332"/>
    <w:rsid w:val="00086E95"/>
    <w:rsid w:val="00097C5C"/>
    <w:rsid w:val="000A03B6"/>
    <w:rsid w:val="000A13FC"/>
    <w:rsid w:val="000A6B93"/>
    <w:rsid w:val="000B088C"/>
    <w:rsid w:val="000B4FDA"/>
    <w:rsid w:val="000D618B"/>
    <w:rsid w:val="000E05DA"/>
    <w:rsid w:val="000E08BB"/>
    <w:rsid w:val="000E163A"/>
    <w:rsid w:val="000F1482"/>
    <w:rsid w:val="00112BA4"/>
    <w:rsid w:val="001140E4"/>
    <w:rsid w:val="00115405"/>
    <w:rsid w:val="00125524"/>
    <w:rsid w:val="0013174E"/>
    <w:rsid w:val="00132E96"/>
    <w:rsid w:val="00141912"/>
    <w:rsid w:val="00144A15"/>
    <w:rsid w:val="0015366A"/>
    <w:rsid w:val="0015370A"/>
    <w:rsid w:val="0016300C"/>
    <w:rsid w:val="00165763"/>
    <w:rsid w:val="0017439A"/>
    <w:rsid w:val="00175191"/>
    <w:rsid w:val="00182423"/>
    <w:rsid w:val="0018792F"/>
    <w:rsid w:val="00195855"/>
    <w:rsid w:val="001973AD"/>
    <w:rsid w:val="001A146F"/>
    <w:rsid w:val="001A36C0"/>
    <w:rsid w:val="001B5A3A"/>
    <w:rsid w:val="001B669B"/>
    <w:rsid w:val="001D083F"/>
    <w:rsid w:val="001D1574"/>
    <w:rsid w:val="001D55D4"/>
    <w:rsid w:val="001E632B"/>
    <w:rsid w:val="001F09B7"/>
    <w:rsid w:val="00201776"/>
    <w:rsid w:val="00205640"/>
    <w:rsid w:val="002114A2"/>
    <w:rsid w:val="00213D8B"/>
    <w:rsid w:val="0021401A"/>
    <w:rsid w:val="00222E18"/>
    <w:rsid w:val="00224547"/>
    <w:rsid w:val="00242F23"/>
    <w:rsid w:val="00255354"/>
    <w:rsid w:val="00257EBF"/>
    <w:rsid w:val="00273CB3"/>
    <w:rsid w:val="00274F87"/>
    <w:rsid w:val="00274FCF"/>
    <w:rsid w:val="0027645A"/>
    <w:rsid w:val="002959D0"/>
    <w:rsid w:val="002960F5"/>
    <w:rsid w:val="00296E72"/>
    <w:rsid w:val="002A5DD1"/>
    <w:rsid w:val="002C265C"/>
    <w:rsid w:val="002C6C88"/>
    <w:rsid w:val="002D1205"/>
    <w:rsid w:val="002E0D7B"/>
    <w:rsid w:val="002E6366"/>
    <w:rsid w:val="002E6483"/>
    <w:rsid w:val="002F1B36"/>
    <w:rsid w:val="002F2A8A"/>
    <w:rsid w:val="002F4E92"/>
    <w:rsid w:val="002F50C1"/>
    <w:rsid w:val="00303190"/>
    <w:rsid w:val="00311623"/>
    <w:rsid w:val="00314EF7"/>
    <w:rsid w:val="00316A23"/>
    <w:rsid w:val="00317D8C"/>
    <w:rsid w:val="00337328"/>
    <w:rsid w:val="00347939"/>
    <w:rsid w:val="0035201F"/>
    <w:rsid w:val="00357299"/>
    <w:rsid w:val="00363866"/>
    <w:rsid w:val="00372386"/>
    <w:rsid w:val="00375E60"/>
    <w:rsid w:val="00393F1D"/>
    <w:rsid w:val="0039636B"/>
    <w:rsid w:val="00396FB2"/>
    <w:rsid w:val="003977EE"/>
    <w:rsid w:val="0039789A"/>
    <w:rsid w:val="003A2A24"/>
    <w:rsid w:val="003B2829"/>
    <w:rsid w:val="003B2BDA"/>
    <w:rsid w:val="003D298F"/>
    <w:rsid w:val="003E645C"/>
    <w:rsid w:val="003E67B0"/>
    <w:rsid w:val="0040388B"/>
    <w:rsid w:val="00407C5A"/>
    <w:rsid w:val="00416E24"/>
    <w:rsid w:val="004233E1"/>
    <w:rsid w:val="00435D30"/>
    <w:rsid w:val="0043637A"/>
    <w:rsid w:val="004407BF"/>
    <w:rsid w:val="0044227E"/>
    <w:rsid w:val="004422A1"/>
    <w:rsid w:val="004456D2"/>
    <w:rsid w:val="004466E6"/>
    <w:rsid w:val="00446B29"/>
    <w:rsid w:val="00454116"/>
    <w:rsid w:val="004654C4"/>
    <w:rsid w:val="00475EC4"/>
    <w:rsid w:val="00490057"/>
    <w:rsid w:val="004A32A9"/>
    <w:rsid w:val="004B4411"/>
    <w:rsid w:val="004B7286"/>
    <w:rsid w:val="004C0CB9"/>
    <w:rsid w:val="004D1814"/>
    <w:rsid w:val="004D1DAC"/>
    <w:rsid w:val="004D644E"/>
    <w:rsid w:val="004D7D73"/>
    <w:rsid w:val="004E2C0E"/>
    <w:rsid w:val="004F0F3A"/>
    <w:rsid w:val="004F3EA9"/>
    <w:rsid w:val="00502278"/>
    <w:rsid w:val="005161E9"/>
    <w:rsid w:val="0051641C"/>
    <w:rsid w:val="00522234"/>
    <w:rsid w:val="00524A15"/>
    <w:rsid w:val="005412E0"/>
    <w:rsid w:val="0054512E"/>
    <w:rsid w:val="00547B95"/>
    <w:rsid w:val="0055337E"/>
    <w:rsid w:val="00553538"/>
    <w:rsid w:val="00561770"/>
    <w:rsid w:val="00561F95"/>
    <w:rsid w:val="005622C8"/>
    <w:rsid w:val="0056519F"/>
    <w:rsid w:val="00566141"/>
    <w:rsid w:val="0056679D"/>
    <w:rsid w:val="00571F10"/>
    <w:rsid w:val="00581E43"/>
    <w:rsid w:val="00585786"/>
    <w:rsid w:val="005866CC"/>
    <w:rsid w:val="00592BBD"/>
    <w:rsid w:val="00595EC3"/>
    <w:rsid w:val="00596506"/>
    <w:rsid w:val="005A4EE9"/>
    <w:rsid w:val="005A61A2"/>
    <w:rsid w:val="005B0833"/>
    <w:rsid w:val="005B7764"/>
    <w:rsid w:val="005C1C22"/>
    <w:rsid w:val="005C4ACA"/>
    <w:rsid w:val="005C7015"/>
    <w:rsid w:val="005D38BE"/>
    <w:rsid w:val="005D592A"/>
    <w:rsid w:val="005E23D7"/>
    <w:rsid w:val="005E37AF"/>
    <w:rsid w:val="005F1181"/>
    <w:rsid w:val="005F22CD"/>
    <w:rsid w:val="005F347A"/>
    <w:rsid w:val="00600BC2"/>
    <w:rsid w:val="0060141A"/>
    <w:rsid w:val="00605322"/>
    <w:rsid w:val="006060D9"/>
    <w:rsid w:val="00611DC8"/>
    <w:rsid w:val="00613039"/>
    <w:rsid w:val="00615D3F"/>
    <w:rsid w:val="00616625"/>
    <w:rsid w:val="006172B9"/>
    <w:rsid w:val="00624D57"/>
    <w:rsid w:val="00650BE9"/>
    <w:rsid w:val="0066060F"/>
    <w:rsid w:val="0067060F"/>
    <w:rsid w:val="00690113"/>
    <w:rsid w:val="006940AC"/>
    <w:rsid w:val="00697C36"/>
    <w:rsid w:val="006A6A0C"/>
    <w:rsid w:val="006A6B83"/>
    <w:rsid w:val="006B703A"/>
    <w:rsid w:val="006B79A0"/>
    <w:rsid w:val="006C1BAE"/>
    <w:rsid w:val="006C1E86"/>
    <w:rsid w:val="006C295F"/>
    <w:rsid w:val="006D416A"/>
    <w:rsid w:val="006E2B27"/>
    <w:rsid w:val="0070148A"/>
    <w:rsid w:val="00702070"/>
    <w:rsid w:val="007178B8"/>
    <w:rsid w:val="00734E04"/>
    <w:rsid w:val="007401D6"/>
    <w:rsid w:val="007473B2"/>
    <w:rsid w:val="00782629"/>
    <w:rsid w:val="007831D5"/>
    <w:rsid w:val="00786634"/>
    <w:rsid w:val="0079000D"/>
    <w:rsid w:val="00790CB6"/>
    <w:rsid w:val="007B27E6"/>
    <w:rsid w:val="007B4A41"/>
    <w:rsid w:val="007D330E"/>
    <w:rsid w:val="007E0CE8"/>
    <w:rsid w:val="007E4BE0"/>
    <w:rsid w:val="007F4044"/>
    <w:rsid w:val="007F64DE"/>
    <w:rsid w:val="007F6AD7"/>
    <w:rsid w:val="00804FBA"/>
    <w:rsid w:val="00805EE2"/>
    <w:rsid w:val="008173AA"/>
    <w:rsid w:val="00831627"/>
    <w:rsid w:val="00831750"/>
    <w:rsid w:val="00852AD3"/>
    <w:rsid w:val="008632D5"/>
    <w:rsid w:val="00867B0A"/>
    <w:rsid w:val="00870921"/>
    <w:rsid w:val="0087115D"/>
    <w:rsid w:val="00873209"/>
    <w:rsid w:val="00876B06"/>
    <w:rsid w:val="00893057"/>
    <w:rsid w:val="00897A3D"/>
    <w:rsid w:val="008E0637"/>
    <w:rsid w:val="008F33B7"/>
    <w:rsid w:val="00911AA3"/>
    <w:rsid w:val="00912555"/>
    <w:rsid w:val="009159ED"/>
    <w:rsid w:val="00916534"/>
    <w:rsid w:val="009350ED"/>
    <w:rsid w:val="00941586"/>
    <w:rsid w:val="00943EE9"/>
    <w:rsid w:val="009528A8"/>
    <w:rsid w:val="0095355F"/>
    <w:rsid w:val="00963758"/>
    <w:rsid w:val="00981C04"/>
    <w:rsid w:val="009824E6"/>
    <w:rsid w:val="00986049"/>
    <w:rsid w:val="00992F5C"/>
    <w:rsid w:val="00996E32"/>
    <w:rsid w:val="009A1845"/>
    <w:rsid w:val="009A1AF0"/>
    <w:rsid w:val="009A6784"/>
    <w:rsid w:val="009B7CA4"/>
    <w:rsid w:val="009D02D4"/>
    <w:rsid w:val="009D0F8D"/>
    <w:rsid w:val="009D4FC2"/>
    <w:rsid w:val="009E4BCB"/>
    <w:rsid w:val="009F2D14"/>
    <w:rsid w:val="00A0497B"/>
    <w:rsid w:val="00A41191"/>
    <w:rsid w:val="00A53CE5"/>
    <w:rsid w:val="00A54FD1"/>
    <w:rsid w:val="00A552BB"/>
    <w:rsid w:val="00A6272E"/>
    <w:rsid w:val="00A65FC5"/>
    <w:rsid w:val="00A662D7"/>
    <w:rsid w:val="00A72A1D"/>
    <w:rsid w:val="00A72F37"/>
    <w:rsid w:val="00A75606"/>
    <w:rsid w:val="00A81897"/>
    <w:rsid w:val="00AB2D5B"/>
    <w:rsid w:val="00AC0B8F"/>
    <w:rsid w:val="00AC5766"/>
    <w:rsid w:val="00AD31A0"/>
    <w:rsid w:val="00AE0299"/>
    <w:rsid w:val="00AE1251"/>
    <w:rsid w:val="00B01ADA"/>
    <w:rsid w:val="00B0471E"/>
    <w:rsid w:val="00B12193"/>
    <w:rsid w:val="00B1500D"/>
    <w:rsid w:val="00B24135"/>
    <w:rsid w:val="00B35097"/>
    <w:rsid w:val="00B3663D"/>
    <w:rsid w:val="00B67AF1"/>
    <w:rsid w:val="00B72810"/>
    <w:rsid w:val="00B8652D"/>
    <w:rsid w:val="00B86C0F"/>
    <w:rsid w:val="00B9260A"/>
    <w:rsid w:val="00BA0695"/>
    <w:rsid w:val="00BB231E"/>
    <w:rsid w:val="00BB43C5"/>
    <w:rsid w:val="00BC11B8"/>
    <w:rsid w:val="00BE4F98"/>
    <w:rsid w:val="00BE7076"/>
    <w:rsid w:val="00BE7E6D"/>
    <w:rsid w:val="00BF3399"/>
    <w:rsid w:val="00BF7A88"/>
    <w:rsid w:val="00C0121D"/>
    <w:rsid w:val="00C01B9A"/>
    <w:rsid w:val="00C05D98"/>
    <w:rsid w:val="00C16EB7"/>
    <w:rsid w:val="00C17497"/>
    <w:rsid w:val="00C17AF8"/>
    <w:rsid w:val="00C2487B"/>
    <w:rsid w:val="00C3034B"/>
    <w:rsid w:val="00C314AE"/>
    <w:rsid w:val="00C33836"/>
    <w:rsid w:val="00C36674"/>
    <w:rsid w:val="00C43375"/>
    <w:rsid w:val="00C4521F"/>
    <w:rsid w:val="00C47BB0"/>
    <w:rsid w:val="00C556A5"/>
    <w:rsid w:val="00C62D87"/>
    <w:rsid w:val="00C63161"/>
    <w:rsid w:val="00C67793"/>
    <w:rsid w:val="00C67D4C"/>
    <w:rsid w:val="00C70267"/>
    <w:rsid w:val="00C874AB"/>
    <w:rsid w:val="00C9079D"/>
    <w:rsid w:val="00C92CEE"/>
    <w:rsid w:val="00C941E5"/>
    <w:rsid w:val="00C95C41"/>
    <w:rsid w:val="00CB529C"/>
    <w:rsid w:val="00CC79C5"/>
    <w:rsid w:val="00CD3D8B"/>
    <w:rsid w:val="00CD56C5"/>
    <w:rsid w:val="00CF1DFD"/>
    <w:rsid w:val="00CF7903"/>
    <w:rsid w:val="00D0315F"/>
    <w:rsid w:val="00D0793B"/>
    <w:rsid w:val="00D13177"/>
    <w:rsid w:val="00D1348E"/>
    <w:rsid w:val="00D13D27"/>
    <w:rsid w:val="00D171FE"/>
    <w:rsid w:val="00D36E57"/>
    <w:rsid w:val="00D5183E"/>
    <w:rsid w:val="00D51F83"/>
    <w:rsid w:val="00D56F04"/>
    <w:rsid w:val="00D60952"/>
    <w:rsid w:val="00D6701A"/>
    <w:rsid w:val="00D82E88"/>
    <w:rsid w:val="00D832EC"/>
    <w:rsid w:val="00D8443C"/>
    <w:rsid w:val="00D84964"/>
    <w:rsid w:val="00D92FAC"/>
    <w:rsid w:val="00D953D5"/>
    <w:rsid w:val="00DA03B7"/>
    <w:rsid w:val="00DB2ADF"/>
    <w:rsid w:val="00DE00BB"/>
    <w:rsid w:val="00DF1D59"/>
    <w:rsid w:val="00DF3663"/>
    <w:rsid w:val="00DF78D6"/>
    <w:rsid w:val="00E12724"/>
    <w:rsid w:val="00E15867"/>
    <w:rsid w:val="00E23515"/>
    <w:rsid w:val="00E33CC1"/>
    <w:rsid w:val="00E35496"/>
    <w:rsid w:val="00E369F4"/>
    <w:rsid w:val="00E45238"/>
    <w:rsid w:val="00E46A7D"/>
    <w:rsid w:val="00E50A11"/>
    <w:rsid w:val="00E522C2"/>
    <w:rsid w:val="00E605E9"/>
    <w:rsid w:val="00E60B3E"/>
    <w:rsid w:val="00E61475"/>
    <w:rsid w:val="00E728DB"/>
    <w:rsid w:val="00E7789D"/>
    <w:rsid w:val="00E908F4"/>
    <w:rsid w:val="00E93322"/>
    <w:rsid w:val="00EA6F51"/>
    <w:rsid w:val="00EB70FA"/>
    <w:rsid w:val="00EC311A"/>
    <w:rsid w:val="00EC4E9B"/>
    <w:rsid w:val="00EC5DE5"/>
    <w:rsid w:val="00ED1BB1"/>
    <w:rsid w:val="00EE2CEB"/>
    <w:rsid w:val="00EE36F0"/>
    <w:rsid w:val="00EF5CEA"/>
    <w:rsid w:val="00EF612F"/>
    <w:rsid w:val="00F0368D"/>
    <w:rsid w:val="00F0387E"/>
    <w:rsid w:val="00F03EB9"/>
    <w:rsid w:val="00F05C54"/>
    <w:rsid w:val="00F10907"/>
    <w:rsid w:val="00F16189"/>
    <w:rsid w:val="00F241D3"/>
    <w:rsid w:val="00F25423"/>
    <w:rsid w:val="00F31FF9"/>
    <w:rsid w:val="00F33D11"/>
    <w:rsid w:val="00F40B89"/>
    <w:rsid w:val="00F43026"/>
    <w:rsid w:val="00F50A2D"/>
    <w:rsid w:val="00F5490E"/>
    <w:rsid w:val="00F54BA5"/>
    <w:rsid w:val="00F55710"/>
    <w:rsid w:val="00F60267"/>
    <w:rsid w:val="00F651CE"/>
    <w:rsid w:val="00F73492"/>
    <w:rsid w:val="00F82E47"/>
    <w:rsid w:val="00F8715B"/>
    <w:rsid w:val="00FA3FF4"/>
    <w:rsid w:val="00FA6F39"/>
    <w:rsid w:val="00FB23F1"/>
    <w:rsid w:val="00FB7E25"/>
    <w:rsid w:val="00FE01D8"/>
    <w:rsid w:val="00FE1C60"/>
    <w:rsid w:val="00FE243D"/>
    <w:rsid w:val="00FE3B38"/>
    <w:rsid w:val="00FE6932"/>
    <w:rsid w:val="00FF0189"/>
    <w:rsid w:val="022F7F91"/>
    <w:rsid w:val="05D0641E"/>
    <w:rsid w:val="089A4DAF"/>
    <w:rsid w:val="11636CBE"/>
    <w:rsid w:val="1A83700E"/>
    <w:rsid w:val="1B7376DC"/>
    <w:rsid w:val="20AB1DFC"/>
    <w:rsid w:val="22363CC3"/>
    <w:rsid w:val="23F1711E"/>
    <w:rsid w:val="23F83B5D"/>
    <w:rsid w:val="287B2A81"/>
    <w:rsid w:val="2B7967CD"/>
    <w:rsid w:val="2BF10B1A"/>
    <w:rsid w:val="2FF12F34"/>
    <w:rsid w:val="39C0325E"/>
    <w:rsid w:val="41ED706C"/>
    <w:rsid w:val="41FC5CCB"/>
    <w:rsid w:val="427261AD"/>
    <w:rsid w:val="47C057BF"/>
    <w:rsid w:val="4DCE19C0"/>
    <w:rsid w:val="51E23A39"/>
    <w:rsid w:val="561751A9"/>
    <w:rsid w:val="58367365"/>
    <w:rsid w:val="5B3C36F5"/>
    <w:rsid w:val="5DA766BE"/>
    <w:rsid w:val="62A244CD"/>
    <w:rsid w:val="6DB36248"/>
    <w:rsid w:val="704B26D8"/>
    <w:rsid w:val="73B85A4D"/>
    <w:rsid w:val="79B04CC2"/>
    <w:rsid w:val="7E4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Plain Text"/>
    <w:basedOn w:val="1"/>
    <w:link w:val="14"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5"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3">
    <w:name w:val="Body Text Char"/>
    <w:basedOn w:val="9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14">
    <w:name w:val="Plain Text Char"/>
    <w:basedOn w:val="9"/>
    <w:link w:val="3"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5">
    <w:name w:val="Date Char"/>
    <w:basedOn w:val="9"/>
    <w:link w:val="4"/>
    <w:semiHidden/>
    <w:locked/>
    <w:uiPriority w:val="99"/>
    <w:rPr>
      <w:rFonts w:cs="Times New Roman"/>
      <w:sz w:val="24"/>
      <w:szCs w:val="24"/>
    </w:rPr>
  </w:style>
  <w:style w:type="character" w:customStyle="1" w:styleId="16">
    <w:name w:val="Balloon Text Char"/>
    <w:basedOn w:val="9"/>
    <w:link w:val="5"/>
    <w:semiHidden/>
    <w:qFormat/>
    <w:locked/>
    <w:uiPriority w:val="99"/>
    <w:rPr>
      <w:rFonts w:cs="Times New Roman"/>
      <w:sz w:val="2"/>
    </w:rPr>
  </w:style>
  <w:style w:type="character" w:customStyle="1" w:styleId="17">
    <w:name w:val="Footer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9"/>
    <w:link w:val="7"/>
    <w:semiHidden/>
    <w:locked/>
    <w:uiPriority w:val="99"/>
    <w:rPr>
      <w:rFonts w:cs="Times New Roman"/>
      <w:sz w:val="18"/>
      <w:szCs w:val="18"/>
    </w:rPr>
  </w:style>
  <w:style w:type="paragraph" w:customStyle="1" w:styleId="19">
    <w:name w:val="Default Paragraph Font Para Char"/>
    <w:basedOn w:val="1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0">
    <w:name w:val="列出段落1"/>
    <w:basedOn w:val="1"/>
    <w:uiPriority w:val="99"/>
    <w:pPr>
      <w:ind w:firstLine="420" w:firstLineChars="200"/>
    </w:pPr>
    <w:rPr>
      <w:rFonts w:ascii="Calibri" w:hAnsi="Calibri"/>
    </w:rPr>
  </w:style>
  <w:style w:type="paragraph" w:customStyle="1" w:styleId="21">
    <w:name w:val="jianfei"/>
    <w:basedOn w:val="1"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8</Pages>
  <Words>636</Words>
  <Characters>3630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2017-10-24T09:02:00Z</dcterms:created>
  <dc:creator>雨林木风</dc:creator>
  <cp:lastModifiedBy>Administrator</cp:lastModifiedBy>
  <cp:lastPrinted>2017-06-16T08:05:00Z</cp:lastPrinted>
  <dcterms:modified xsi:type="dcterms:W3CDTF">2018-10-17T01:45:50Z</dcterms:modified>
  <dc:title>校政文〔2009〕102号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